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Standard Procedure for Violations </w:t>
      </w:r>
    </w:p>
    <w:p w:rsidR="00000000" w:rsidDel="00000000" w:rsidP="00000000" w:rsidRDefault="00000000" w:rsidRPr="00000000" w14:paraId="00000002">
      <w:pPr>
        <w:keepNext w:val="0"/>
        <w:keepLines w:val="0"/>
        <w:numPr>
          <w:ilvl w:val="0"/>
          <w:numId w:val="19"/>
        </w:numPr>
        <w:spacing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Authority &amp; Governing Documents</w:t>
      </w:r>
    </w:p>
    <w:p w:rsidR="00000000" w:rsidDel="00000000" w:rsidP="00000000" w:rsidRDefault="00000000" w:rsidRPr="00000000" w14:paraId="0000000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All violations are handled in accordance with the specific governing documents of each Association and applicable Florida Statutes (Chapter 720 for HOAs; Chapter 718 for Condominiums). Because each community maintains its own Declaration, Bylaws, and Rules &amp; Regulations, violation standards and enforcement procedures may differ between associations.</w:t>
      </w:r>
    </w:p>
    <w:p w:rsidR="00000000" w:rsidDel="00000000" w:rsidP="00000000" w:rsidRDefault="00000000" w:rsidRPr="00000000" w14:paraId="0000000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Violations must be enforced consistently and uniformly within each Association. Selective or inconsistent enforcement may impair the Association’s legal position. All enforcement actions must align with the authority granted in the governing documents.</w:t>
      </w:r>
    </w:p>
    <w:p w:rsidR="00000000" w:rsidDel="00000000" w:rsidP="00000000" w:rsidRDefault="00000000" w:rsidRPr="00000000" w14:paraId="00000005">
      <w:pPr>
        <w:keepNext w:val="0"/>
        <w:keepLines w:val="0"/>
        <w:numPr>
          <w:ilvl w:val="0"/>
          <w:numId w:val="12"/>
        </w:numPr>
        <w:spacing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Identification &amp; Documentation</w:t>
      </w:r>
    </w:p>
    <w:p w:rsidR="00000000" w:rsidDel="00000000" w:rsidP="00000000" w:rsidRDefault="00000000" w:rsidRPr="00000000" w14:paraId="0000000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Violations may be identified through homeowner complaints, board reports, vendor observations, or management inspections. Anonymous complaints should be independently verified before notice is issued.</w:t>
      </w:r>
    </w:p>
    <w:p w:rsidR="00000000" w:rsidDel="00000000" w:rsidP="00000000" w:rsidRDefault="00000000" w:rsidRPr="00000000" w14:paraId="0000000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Prior to issuing notice, management must:</w:t>
      </w:r>
    </w:p>
    <w:p w:rsidR="00000000" w:rsidDel="00000000" w:rsidP="00000000" w:rsidRDefault="00000000" w:rsidRPr="00000000" w14:paraId="00000008">
      <w:pPr>
        <w:numPr>
          <w:ilvl w:val="0"/>
          <w:numId w:val="24"/>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 the violation exists in the governing documents.</w:t>
      </w:r>
    </w:p>
    <w:p w:rsidR="00000000" w:rsidDel="00000000" w:rsidP="00000000" w:rsidRDefault="00000000" w:rsidRPr="00000000" w14:paraId="00000009">
      <w:pPr>
        <w:numPr>
          <w:ilvl w:val="0"/>
          <w:numId w:val="24"/>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 enforcement authority and fine authority (if applicable).</w:t>
      </w:r>
    </w:p>
    <w:p w:rsidR="00000000" w:rsidDel="00000000" w:rsidP="00000000" w:rsidRDefault="00000000" w:rsidRPr="00000000" w14:paraId="0000000A">
      <w:pPr>
        <w:numPr>
          <w:ilvl w:val="0"/>
          <w:numId w:val="24"/>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prior history to ensure consistency.</w:t>
      </w:r>
    </w:p>
    <w:p w:rsidR="00000000" w:rsidDel="00000000" w:rsidP="00000000" w:rsidRDefault="00000000" w:rsidRPr="00000000" w14:paraId="0000000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All violations are entered into the management system by the Manager and must include:</w:t>
      </w:r>
    </w:p>
    <w:p w:rsidR="00000000" w:rsidDel="00000000" w:rsidP="00000000" w:rsidRDefault="00000000" w:rsidRPr="00000000" w14:paraId="0000000C">
      <w:pPr>
        <w:numPr>
          <w:ilvl w:val="0"/>
          <w:numId w:val="5"/>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Property address/unit</w:t>
      </w:r>
    </w:p>
    <w:p w:rsidR="00000000" w:rsidDel="00000000" w:rsidP="00000000" w:rsidRDefault="00000000" w:rsidRPr="00000000" w14:paraId="0000000D">
      <w:pPr>
        <w:numPr>
          <w:ilvl w:val="0"/>
          <w:numId w:val="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Description of violation</w:t>
      </w:r>
    </w:p>
    <w:p w:rsidR="00000000" w:rsidDel="00000000" w:rsidP="00000000" w:rsidRDefault="00000000" w:rsidRPr="00000000" w14:paraId="0000000E">
      <w:pPr>
        <w:numPr>
          <w:ilvl w:val="0"/>
          <w:numId w:val="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Date observed</w:t>
      </w:r>
    </w:p>
    <w:p w:rsidR="00000000" w:rsidDel="00000000" w:rsidP="00000000" w:rsidRDefault="00000000" w:rsidRPr="00000000" w14:paraId="0000000F">
      <w:pPr>
        <w:numPr>
          <w:ilvl w:val="0"/>
          <w:numId w:val="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Supporting photos (if applicable)</w:t>
      </w:r>
    </w:p>
    <w:p w:rsidR="00000000" w:rsidDel="00000000" w:rsidP="00000000" w:rsidRDefault="00000000" w:rsidRPr="00000000" w14:paraId="00000010">
      <w:pPr>
        <w:numPr>
          <w:ilvl w:val="0"/>
          <w:numId w:val="5"/>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Notice tracking and response history</w:t>
      </w:r>
    </w:p>
    <w:p w:rsidR="00000000" w:rsidDel="00000000" w:rsidP="00000000" w:rsidRDefault="00000000" w:rsidRPr="00000000" w14:paraId="0000001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Complete documentation is required for legal defensibility.</w:t>
      </w:r>
    </w:p>
    <w:p w:rsidR="00000000" w:rsidDel="00000000" w:rsidP="00000000" w:rsidRDefault="00000000" w:rsidRPr="00000000" w14:paraId="00000012">
      <w:pPr>
        <w:numPr>
          <w:ilvl w:val="0"/>
          <w:numId w:val="6"/>
        </w:numPr>
        <w:spacing w:after="240" w:before="24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Notice &amp; Enforcement Process</w:t>
      </w:r>
    </w:p>
    <w:p w:rsidR="00000000" w:rsidDel="00000000" w:rsidP="00000000" w:rsidRDefault="00000000" w:rsidRPr="00000000" w14:paraId="0000001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Unless otherwise required by the governing documents, violations generally follow a stepped enforcement process:</w:t>
      </w:r>
    </w:p>
    <w:p w:rsidR="00000000" w:rsidDel="00000000" w:rsidP="00000000" w:rsidRDefault="00000000" w:rsidRPr="00000000" w14:paraId="00000014">
      <w:pPr>
        <w:numPr>
          <w:ilvl w:val="0"/>
          <w:numId w:val="23"/>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Courtesy Notice (if customary or required)</w:t>
      </w:r>
    </w:p>
    <w:p w:rsidR="00000000" w:rsidDel="00000000" w:rsidP="00000000" w:rsidRDefault="00000000" w:rsidRPr="00000000" w14:paraId="00000015">
      <w:pPr>
        <w:numPr>
          <w:ilvl w:val="0"/>
          <w:numId w:val="23"/>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Formal Violation Notice with cure deadline</w:t>
      </w:r>
    </w:p>
    <w:p w:rsidR="00000000" w:rsidDel="00000000" w:rsidP="00000000" w:rsidRDefault="00000000" w:rsidRPr="00000000" w14:paraId="00000016">
      <w:pPr>
        <w:numPr>
          <w:ilvl w:val="0"/>
          <w:numId w:val="23"/>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Intent to Fine / Hearing Notice (if applicable)</w:t>
      </w:r>
    </w:p>
    <w:p w:rsidR="00000000" w:rsidDel="00000000" w:rsidP="00000000" w:rsidRDefault="00000000" w:rsidRPr="00000000" w14:paraId="00000017">
      <w:pPr>
        <w:numPr>
          <w:ilvl w:val="0"/>
          <w:numId w:val="23"/>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Committee Review and determination</w:t>
      </w:r>
    </w:p>
    <w:p w:rsidR="00000000" w:rsidDel="00000000" w:rsidP="00000000" w:rsidRDefault="00000000" w:rsidRPr="00000000" w14:paraId="00000018">
      <w:pPr>
        <w:spacing w:after="240" w:before="24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240" w:before="24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All notices must:</w:t>
      </w:r>
    </w:p>
    <w:p w:rsidR="00000000" w:rsidDel="00000000" w:rsidP="00000000" w:rsidRDefault="00000000" w:rsidRPr="00000000" w14:paraId="0000001B">
      <w:pPr>
        <w:numPr>
          <w:ilvl w:val="0"/>
          <w:numId w:val="2"/>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Cite the specific governing document provision</w:t>
      </w:r>
    </w:p>
    <w:p w:rsidR="00000000" w:rsidDel="00000000" w:rsidP="00000000" w:rsidRDefault="00000000" w:rsidRPr="00000000" w14:paraId="0000001C">
      <w:pPr>
        <w:numPr>
          <w:ilvl w:val="0"/>
          <w:numId w:val="2"/>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Clearly describe the violation</w:t>
      </w:r>
    </w:p>
    <w:p w:rsidR="00000000" w:rsidDel="00000000" w:rsidP="00000000" w:rsidRDefault="00000000" w:rsidRPr="00000000" w14:paraId="0000001D">
      <w:pPr>
        <w:numPr>
          <w:ilvl w:val="0"/>
          <w:numId w:val="2"/>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instructions for cure</w:t>
      </w:r>
    </w:p>
    <w:p w:rsidR="00000000" w:rsidDel="00000000" w:rsidP="00000000" w:rsidRDefault="00000000" w:rsidRPr="00000000" w14:paraId="0000001E">
      <w:pPr>
        <w:numPr>
          <w:ilvl w:val="0"/>
          <w:numId w:val="2"/>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applicable deadlines</w:t>
      </w:r>
    </w:p>
    <w:p w:rsidR="00000000" w:rsidDel="00000000" w:rsidP="00000000" w:rsidRDefault="00000000" w:rsidRPr="00000000" w14:paraId="0000001F">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Owners are responsible for violations caused by tenants, occupants, or guests.</w:t>
      </w:r>
    </w:p>
    <w:p w:rsidR="00000000" w:rsidDel="00000000" w:rsidP="00000000" w:rsidRDefault="00000000" w:rsidRPr="00000000" w14:paraId="00000020">
      <w:pPr>
        <w:keepNext w:val="0"/>
        <w:keepLines w:val="0"/>
        <w:numPr>
          <w:ilvl w:val="0"/>
          <w:numId w:val="17"/>
        </w:numPr>
        <w:spacing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Violation Classification &amp; Enforcement Considerations</w:t>
      </w:r>
    </w:p>
    <w:p w:rsidR="00000000" w:rsidDel="00000000" w:rsidP="00000000" w:rsidRDefault="00000000" w:rsidRPr="00000000" w14:paraId="00000021">
      <w:pPr>
        <w:keepNext w:val="0"/>
        <w:keepLines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Management must evaluate the nature and status of the violation prior to initiating enforcement actions to ensure compliance with governing documents and Florida Statutes. All violations follow the same general enforcement process (notice, opportunity to cure, and potential escalation). However, the Association’s ability to impose fines depends on whether the violation is ongoing or has already been corrected.</w:t>
      </w:r>
    </w:p>
    <w:p w:rsidR="00000000" w:rsidDel="00000000" w:rsidP="00000000" w:rsidRDefault="00000000" w:rsidRPr="00000000" w14:paraId="00000022">
      <w:pPr>
        <w:keepNext w:val="0"/>
        <w:keepLines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1. Continuing Violations</w:t>
        <w:br w:type="textWrapping"/>
      </w:r>
      <w:r w:rsidDel="00000000" w:rsidR="00000000" w:rsidRPr="00000000">
        <w:rPr>
          <w:rFonts w:ascii="Calibri" w:cs="Calibri" w:eastAsia="Calibri" w:hAnsi="Calibri"/>
          <w:i w:val="1"/>
          <w:iCs w:val="1"/>
          <w:rtl w:val="0"/>
        </w:rPr>
        <w:t xml:space="preserve">THINK: Continuing violation → can be cured → can be fined</w:t>
      </w:r>
      <w:r w:rsidDel="00000000" w:rsidR="00000000" w:rsidRPr="00000000">
        <w:rPr>
          <w:rFonts w:ascii="Calibri" w:cs="Calibri" w:eastAsia="Calibri" w:hAnsi="Calibri"/>
          <w:rtl w:val="0"/>
        </w:rPr>
        <w:br w:type="textWrapping"/>
        <w:t xml:space="preserve">These are ongoing conditions that can be corrected over time (e.g., landscaping, maintenance issues, trash accumulation). Violations that remain ongoing must be provided notice and an opportunity to cure. If the violation is not corrected within the required timeframe, fines may be pursued in accordance with governing documents and statutory requirements.</w:t>
      </w:r>
    </w:p>
    <w:p w:rsidR="00000000" w:rsidDel="00000000" w:rsidP="00000000" w:rsidRDefault="00000000" w:rsidRPr="00000000" w14:paraId="00000023">
      <w:pPr>
        <w:keepNext w:val="0"/>
        <w:keepLines w:val="0"/>
        <w:numPr>
          <w:ilvl w:val="0"/>
          <w:numId w:val="7"/>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Must be provided written notice and a reasonable opportunity to cure prior to further enforcement.</w:t>
      </w:r>
    </w:p>
    <w:p w:rsidR="00000000" w:rsidDel="00000000" w:rsidP="00000000" w:rsidRDefault="00000000" w:rsidRPr="00000000" w14:paraId="00000024">
      <w:pPr>
        <w:keepNext w:val="0"/>
        <w:keepLines w:val="0"/>
        <w:numPr>
          <w:ilvl w:val="0"/>
          <w:numId w:val="7"/>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Fines may only be pursued if the violation remains uncorrected after the cure period and all statutory procedures are followed.</w:t>
        <w:br w:type="textWrapping"/>
      </w:r>
    </w:p>
    <w:p w:rsidR="00000000" w:rsidDel="00000000" w:rsidP="00000000" w:rsidRDefault="00000000" w:rsidRPr="00000000" w14:paraId="00000025">
      <w:pPr>
        <w:keepNext w:val="0"/>
        <w:keepLines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2. One-Time / Instant Violations</w:t>
        <w:br w:type="textWrapping"/>
      </w:r>
      <w:r w:rsidDel="00000000" w:rsidR="00000000" w:rsidRPr="00000000">
        <w:rPr>
          <w:rFonts w:ascii="Calibri" w:cs="Calibri" w:eastAsia="Calibri" w:hAnsi="Calibri"/>
          <w:i w:val="1"/>
          <w:iCs w:val="1"/>
          <w:rtl w:val="0"/>
        </w:rPr>
        <w:t xml:space="preserve">THINK: Instant violation → already cured → cannot be fined</w:t>
      </w:r>
      <w:r w:rsidDel="00000000" w:rsidR="00000000" w:rsidRPr="00000000">
        <w:rPr>
          <w:rFonts w:ascii="Calibri" w:cs="Calibri" w:eastAsia="Calibri" w:hAnsi="Calibri"/>
          <w:rtl w:val="0"/>
        </w:rPr>
        <w:br w:type="textWrapping"/>
        <w:t xml:space="preserve">These are single-occurrence violations that occur and are completed (e.g., bulk item dumping, improper disposal, unauthorized actions). Violations that have already been corrected prior to notice do not provide an opportunity to cure. In these cases, fines may not be imposed, as statutory due process requirements cannot be satisfied. Enforcement is limited to documentation and warning unless otherwise directed by legal counsel.</w:t>
      </w:r>
    </w:p>
    <w:p w:rsidR="00000000" w:rsidDel="00000000" w:rsidP="00000000" w:rsidRDefault="00000000" w:rsidRPr="00000000" w14:paraId="00000026">
      <w:pPr>
        <w:keepNext w:val="0"/>
        <w:keepLines w:val="0"/>
        <w:numPr>
          <w:ilvl w:val="0"/>
          <w:numId w:val="4"/>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violation is corrected prior to notice being issued, a fine may not be imposed.</w:t>
      </w:r>
    </w:p>
    <w:p w:rsidR="00000000" w:rsidDel="00000000" w:rsidP="00000000" w:rsidRDefault="00000000" w:rsidRPr="00000000" w14:paraId="00000027">
      <w:pPr>
        <w:keepNext w:val="0"/>
        <w:keepLines w:val="0"/>
        <w:numPr>
          <w:ilvl w:val="0"/>
          <w:numId w:val="4"/>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may document the violation and issue a warning or courtesy notice, but fining authority is limited if due process requirements cannot be satisfied.</w:t>
        <w:br w:type="textWrapping"/>
      </w:r>
    </w:p>
    <w:p w:rsidR="00000000" w:rsidDel="00000000" w:rsidP="00000000" w:rsidRDefault="00000000" w:rsidRPr="00000000" w14:paraId="00000028">
      <w:pPr>
        <w:keepNext w:val="0"/>
        <w:keepLines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3. Violations Corrected Prior to Notice</w:t>
        <w:br w:type="textWrapping"/>
        <w:t xml:space="preserve">If a violation has already been corrected before notice is issued:</w:t>
      </w:r>
    </w:p>
    <w:p w:rsidR="00000000" w:rsidDel="00000000" w:rsidP="00000000" w:rsidRDefault="00000000" w:rsidRPr="00000000" w14:paraId="00000029">
      <w:pPr>
        <w:keepNext w:val="0"/>
        <w:keepLines w:val="0"/>
        <w:numPr>
          <w:ilvl w:val="0"/>
          <w:numId w:val="22"/>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Association may not impose or collect a fine, as statutory notice and hearing requirements cannot be met.</w:t>
      </w:r>
    </w:p>
    <w:p w:rsidR="00000000" w:rsidDel="00000000" w:rsidP="00000000" w:rsidRDefault="00000000" w:rsidRPr="00000000" w14:paraId="0000002A">
      <w:pPr>
        <w:keepNext w:val="0"/>
        <w:keepLines w:val="0"/>
        <w:numPr>
          <w:ilvl w:val="0"/>
          <w:numId w:val="22"/>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Enforcement in these cases should be limited to documentation and warning unless otherwise directed by legal counsel.</w:t>
        <w:br w:type="textWrapping"/>
      </w:r>
    </w:p>
    <w:p w:rsidR="00000000" w:rsidDel="00000000" w:rsidP="00000000" w:rsidRDefault="00000000" w:rsidRPr="00000000" w14:paraId="0000002B">
      <w:pPr>
        <w:keepNext w:val="0"/>
        <w:keepLines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4. Self-Help Provisions (Association Correcting Violations)</w:t>
        <w:br w:type="textWrapping"/>
        <w:t xml:space="preserve">Where governing documents permit self-help:</w:t>
      </w:r>
    </w:p>
    <w:p w:rsidR="00000000" w:rsidDel="00000000" w:rsidP="00000000" w:rsidRDefault="00000000" w:rsidRPr="00000000" w14:paraId="0000002C">
      <w:pPr>
        <w:keepNext w:val="0"/>
        <w:keepLines w:val="0"/>
        <w:numPr>
          <w:ilvl w:val="0"/>
          <w:numId w:val="9"/>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Association must first provide notice and a defined cure period (e.g., 14 days per governing documents).</w:t>
      </w:r>
    </w:p>
    <w:p w:rsidR="00000000" w:rsidDel="00000000" w:rsidP="00000000" w:rsidRDefault="00000000" w:rsidRPr="00000000" w14:paraId="0000002D">
      <w:pPr>
        <w:keepNext w:val="0"/>
        <w:keepLines w:val="0"/>
        <w:numPr>
          <w:ilvl w:val="0"/>
          <w:numId w:val="9"/>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owner fails to cure within that period, the Association may perform corrective action and assess the cost to the owner.</w:t>
      </w:r>
    </w:p>
    <w:p w:rsidR="00000000" w:rsidDel="00000000" w:rsidP="00000000" w:rsidRDefault="00000000" w:rsidRPr="00000000" w14:paraId="0000002E">
      <w:pPr>
        <w:keepNext w:val="0"/>
        <w:keepLines w:val="0"/>
        <w:numPr>
          <w:ilvl w:val="0"/>
          <w:numId w:val="9"/>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corrective action is taken prior to notice, the Association may not assess the cost, as this would violate governing documents.</w:t>
      </w:r>
    </w:p>
    <w:p w:rsidR="00000000" w:rsidDel="00000000" w:rsidP="00000000" w:rsidRDefault="00000000" w:rsidRPr="00000000" w14:paraId="0000002F">
      <w:pPr>
        <w:keepNext w:val="0"/>
        <w:keepLines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5. Fining Procedure Requirements</w:t>
        <w:br w:type="textWrapping"/>
        <w:t xml:space="preserve">Fines must follow a multi-step statutory process:</w:t>
      </w:r>
    </w:p>
    <w:p w:rsidR="00000000" w:rsidDel="00000000" w:rsidP="00000000" w:rsidRDefault="00000000" w:rsidRPr="00000000" w14:paraId="00000030">
      <w:pPr>
        <w:keepNext w:val="0"/>
        <w:keepLines w:val="0"/>
        <w:numPr>
          <w:ilvl w:val="0"/>
          <w:numId w:val="15"/>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approval of the proposed fine at a duly noticed meeting</w:t>
      </w:r>
    </w:p>
    <w:p w:rsidR="00000000" w:rsidDel="00000000" w:rsidP="00000000" w:rsidRDefault="00000000" w:rsidRPr="00000000" w14:paraId="00000031">
      <w:pPr>
        <w:keepNext w:val="0"/>
        <w:keepLines w:val="0"/>
        <w:numPr>
          <w:ilvl w:val="0"/>
          <w:numId w:val="1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Notice to the owner of the fine and opportunity for hearing</w:t>
      </w:r>
    </w:p>
    <w:p w:rsidR="00000000" w:rsidDel="00000000" w:rsidP="00000000" w:rsidRDefault="00000000" w:rsidRPr="00000000" w14:paraId="00000032">
      <w:pPr>
        <w:keepNext w:val="0"/>
        <w:keepLines w:val="0"/>
        <w:numPr>
          <w:ilvl w:val="0"/>
          <w:numId w:val="1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Hearing before an independent committee</w:t>
      </w:r>
    </w:p>
    <w:p w:rsidR="00000000" w:rsidDel="00000000" w:rsidP="00000000" w:rsidRDefault="00000000" w:rsidRPr="00000000" w14:paraId="00000033">
      <w:pPr>
        <w:keepNext w:val="0"/>
        <w:keepLines w:val="0"/>
        <w:numPr>
          <w:ilvl w:val="0"/>
          <w:numId w:val="1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Committee approval of the fine</w:t>
      </w:r>
    </w:p>
    <w:p w:rsidR="00000000" w:rsidDel="00000000" w:rsidP="00000000" w:rsidRDefault="00000000" w:rsidRPr="00000000" w14:paraId="00000034">
      <w:pPr>
        <w:keepNext w:val="0"/>
        <w:keepLines w:val="0"/>
        <w:numPr>
          <w:ilvl w:val="0"/>
          <w:numId w:val="1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Second notice and opportunity to cure</w:t>
      </w:r>
    </w:p>
    <w:p w:rsidR="00000000" w:rsidDel="00000000" w:rsidP="00000000" w:rsidRDefault="00000000" w:rsidRPr="00000000" w14:paraId="00000035">
      <w:pPr>
        <w:keepNext w:val="0"/>
        <w:keepLines w:val="0"/>
        <w:numPr>
          <w:ilvl w:val="0"/>
          <w:numId w:val="1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Fine may not be imposed until at least 30 days after notice</w:t>
      </w:r>
    </w:p>
    <w:p w:rsidR="00000000" w:rsidDel="00000000" w:rsidP="00000000" w:rsidRDefault="00000000" w:rsidRPr="00000000" w14:paraId="00000036">
      <w:pPr>
        <w:keepNext w:val="0"/>
        <w:keepLines w:val="0"/>
        <w:numPr>
          <w:ilvl w:val="0"/>
          <w:numId w:val="15"/>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violation is cured prior to that period, the fine may not be imposed</w:t>
      </w:r>
    </w:p>
    <w:p w:rsidR="00000000" w:rsidDel="00000000" w:rsidP="00000000" w:rsidRDefault="00000000" w:rsidRPr="00000000" w14:paraId="00000037">
      <w:pPr>
        <w:keepNext w:val="0"/>
        <w:keepLines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6. Notice Delivery Requirements</w:t>
      </w:r>
    </w:p>
    <w:p w:rsidR="00000000" w:rsidDel="00000000" w:rsidP="00000000" w:rsidRDefault="00000000" w:rsidRPr="00000000" w14:paraId="00000038">
      <w:pPr>
        <w:keepNext w:val="0"/>
        <w:keepLines w:val="0"/>
        <w:numPr>
          <w:ilvl w:val="0"/>
          <w:numId w:val="21"/>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Notices may be sent electronically only if the owner has consented to electronic notice</w:t>
      </w:r>
    </w:p>
    <w:p w:rsidR="00000000" w:rsidDel="00000000" w:rsidP="00000000" w:rsidRDefault="00000000" w:rsidRPr="00000000" w14:paraId="00000039">
      <w:pPr>
        <w:keepNext w:val="0"/>
        <w:keepLines w:val="0"/>
        <w:numPr>
          <w:ilvl w:val="0"/>
          <w:numId w:val="21"/>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Otherwise, notices must be sent to the owner’s official mailing address on file</w:t>
      </w:r>
    </w:p>
    <w:p w:rsidR="00000000" w:rsidDel="00000000" w:rsidP="00000000" w:rsidRDefault="00000000" w:rsidRPr="00000000" w14:paraId="0000003A">
      <w:pPr>
        <w:keepNext w:val="0"/>
        <w:keepLines w:val="0"/>
        <w:spacing w:after="240" w:before="24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keepNext w:val="0"/>
        <w:keepLines w:val="0"/>
        <w:numPr>
          <w:ilvl w:val="0"/>
          <w:numId w:val="20"/>
        </w:numPr>
        <w:spacing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Fines &amp; Hearing Requirements</w:t>
      </w:r>
    </w:p>
    <w:p w:rsidR="00000000" w:rsidDel="00000000" w:rsidP="00000000" w:rsidRDefault="00000000" w:rsidRPr="00000000" w14:paraId="0000003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If authorized by the governing documents, fines may be imposed in accordance with the adopted fine schedule.</w:t>
      </w:r>
    </w:p>
    <w:p w:rsidR="00000000" w:rsidDel="00000000" w:rsidP="00000000" w:rsidRDefault="00000000" w:rsidRPr="00000000" w14:paraId="0000003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Before any fine or suspension is imposed:</w:t>
      </w:r>
    </w:p>
    <w:p w:rsidR="00000000" w:rsidDel="00000000" w:rsidP="00000000" w:rsidRDefault="00000000" w:rsidRPr="00000000" w14:paraId="0000003E">
      <w:pPr>
        <w:numPr>
          <w:ilvl w:val="0"/>
          <w:numId w:val="16"/>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owner must receive at least 14 days’ written notice.</w:t>
      </w:r>
    </w:p>
    <w:p w:rsidR="00000000" w:rsidDel="00000000" w:rsidP="00000000" w:rsidRDefault="00000000" w:rsidRPr="00000000" w14:paraId="0000003F">
      <w:pPr>
        <w:numPr>
          <w:ilvl w:val="0"/>
          <w:numId w:val="16"/>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owner must be provided an opportunity for a hearing.</w:t>
      </w:r>
    </w:p>
    <w:p w:rsidR="00000000" w:rsidDel="00000000" w:rsidP="00000000" w:rsidRDefault="00000000" w:rsidRPr="00000000" w14:paraId="00000040">
      <w:pPr>
        <w:numPr>
          <w:ilvl w:val="0"/>
          <w:numId w:val="16"/>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fine or suspension must be approved by an independent Violation Review Committee (minimum three members who are not board members, officers, or employees).</w:t>
      </w:r>
    </w:p>
    <w:p w:rsidR="00000000" w:rsidDel="00000000" w:rsidP="00000000" w:rsidRDefault="00000000" w:rsidRPr="00000000" w14:paraId="0000004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If the committee does not approve the fine, it may not be imposed.</w:t>
      </w:r>
    </w:p>
    <w:p w:rsidR="00000000" w:rsidDel="00000000" w:rsidP="00000000" w:rsidRDefault="00000000" w:rsidRPr="00000000" w14:paraId="00000042">
      <w:pPr>
        <w:spacing w:after="24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spacing w:before="28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keepNext w:val="0"/>
        <w:keepLines w:val="0"/>
        <w:numPr>
          <w:ilvl w:val="0"/>
          <w:numId w:val="18"/>
        </w:numPr>
        <w:spacing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Statutory Fine Limits</w:t>
      </w:r>
    </w:p>
    <w:p w:rsidR="00000000" w:rsidDel="00000000" w:rsidP="00000000" w:rsidRDefault="00000000" w:rsidRPr="00000000" w14:paraId="00000045">
      <w:pPr>
        <w:keepNext w:val="0"/>
        <w:keepLines w:val="0"/>
        <w:spacing w:after="4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Homeowners Associations (FS 720.305)</w:t>
      </w:r>
    </w:p>
    <w:p w:rsidR="00000000" w:rsidDel="00000000" w:rsidP="00000000" w:rsidRDefault="00000000" w:rsidRPr="00000000" w14:paraId="00000046">
      <w:pPr>
        <w:numPr>
          <w:ilvl w:val="0"/>
          <w:numId w:val="14"/>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Maximum $100 per violation or $100 per day for continuing violations.</w:t>
      </w:r>
    </w:p>
    <w:p w:rsidR="00000000" w:rsidDel="00000000" w:rsidP="00000000" w:rsidRDefault="00000000" w:rsidRPr="00000000" w14:paraId="00000047">
      <w:pPr>
        <w:numPr>
          <w:ilvl w:val="0"/>
          <w:numId w:val="14"/>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Aggregate cap of $1,000 per violation unless governing documents provide otherwise.</w:t>
      </w:r>
    </w:p>
    <w:p w:rsidR="00000000" w:rsidDel="00000000" w:rsidP="00000000" w:rsidRDefault="00000000" w:rsidRPr="00000000" w14:paraId="00000048">
      <w:pPr>
        <w:numPr>
          <w:ilvl w:val="0"/>
          <w:numId w:val="14"/>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Fines over $1,000 may become a lien if permitted by the governing documents and law.</w:t>
      </w:r>
    </w:p>
    <w:p w:rsidR="00000000" w:rsidDel="00000000" w:rsidP="00000000" w:rsidRDefault="00000000" w:rsidRPr="00000000" w14:paraId="00000049">
      <w:pPr>
        <w:keepNext w:val="0"/>
        <w:keepLines w:val="0"/>
        <w:spacing w:after="4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Condominium Associations (FS 718.303)</w:t>
      </w:r>
    </w:p>
    <w:p w:rsidR="00000000" w:rsidDel="00000000" w:rsidP="00000000" w:rsidRDefault="00000000" w:rsidRPr="00000000" w14:paraId="0000004A">
      <w:pPr>
        <w:numPr>
          <w:ilvl w:val="0"/>
          <w:numId w:val="8"/>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Maximum $100 per violation or $100 per day for continuing violations.</w:t>
      </w:r>
    </w:p>
    <w:p w:rsidR="00000000" w:rsidDel="00000000" w:rsidP="00000000" w:rsidRDefault="00000000" w:rsidRPr="00000000" w14:paraId="0000004B">
      <w:pPr>
        <w:numPr>
          <w:ilvl w:val="0"/>
          <w:numId w:val="8"/>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Aggregate cap of $1,000 per violation unless governing documents provide otherwise.</w:t>
      </w:r>
    </w:p>
    <w:p w:rsidR="00000000" w:rsidDel="00000000" w:rsidP="00000000" w:rsidRDefault="00000000" w:rsidRPr="00000000" w14:paraId="0000004C">
      <w:pPr>
        <w:numPr>
          <w:ilvl w:val="0"/>
          <w:numId w:val="8"/>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Fines do not become a lien.</w:t>
      </w:r>
    </w:p>
    <w:p w:rsidR="00000000" w:rsidDel="00000000" w:rsidP="00000000" w:rsidRDefault="00000000" w:rsidRPr="00000000" w14:paraId="0000004D">
      <w:pPr>
        <w:numPr>
          <w:ilvl w:val="0"/>
          <w:numId w:val="8"/>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and voting rights may be suspended for unpaid fines exceeding $1,000, except limited common elements may not be suspended.</w:t>
      </w:r>
    </w:p>
    <w:p w:rsidR="00000000" w:rsidDel="00000000" w:rsidP="00000000" w:rsidRDefault="00000000" w:rsidRPr="00000000" w14:paraId="0000004E">
      <w:pPr>
        <w:keepNext w:val="0"/>
        <w:keepLines w:val="0"/>
        <w:spacing w:before="28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0"/>
        <w:keepLines w:val="0"/>
        <w:numPr>
          <w:ilvl w:val="0"/>
          <w:numId w:val="11"/>
        </w:numPr>
        <w:spacing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Suspension of Rights</w:t>
      </w:r>
    </w:p>
    <w:p w:rsidR="00000000" w:rsidDel="00000000" w:rsidP="00000000" w:rsidRDefault="00000000" w:rsidRPr="00000000" w14:paraId="0000005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If authorized, the Association may suspend:</w:t>
      </w:r>
    </w:p>
    <w:p w:rsidR="00000000" w:rsidDel="00000000" w:rsidP="00000000" w:rsidRDefault="00000000" w:rsidRPr="00000000" w14:paraId="00000051">
      <w:pPr>
        <w:numPr>
          <w:ilvl w:val="0"/>
          <w:numId w:val="10"/>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Voting rights</w:t>
      </w:r>
    </w:p>
    <w:p w:rsidR="00000000" w:rsidDel="00000000" w:rsidP="00000000" w:rsidRDefault="00000000" w:rsidRPr="00000000" w14:paraId="00000052">
      <w:pPr>
        <w:numPr>
          <w:ilvl w:val="0"/>
          <w:numId w:val="10"/>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Common area use rights</w:t>
        <w:br w:type="textWrapping"/>
      </w:r>
    </w:p>
    <w:p w:rsidR="00000000" w:rsidDel="00000000" w:rsidP="00000000" w:rsidRDefault="00000000" w:rsidRPr="00000000" w14:paraId="0000005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Suspensions must follow statutory and governing document requirements.</w:t>
      </w:r>
    </w:p>
    <w:p w:rsidR="00000000" w:rsidDel="00000000" w:rsidP="00000000" w:rsidRDefault="00000000" w:rsidRPr="00000000" w14:paraId="00000054">
      <w:pPr>
        <w:keepNext w:val="0"/>
        <w:keepLines w:val="0"/>
        <w:numPr>
          <w:ilvl w:val="0"/>
          <w:numId w:val="1"/>
        </w:numPr>
        <w:spacing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Escalation to Legal Counsel</w:t>
      </w:r>
    </w:p>
    <w:p w:rsidR="00000000" w:rsidDel="00000000" w:rsidP="00000000" w:rsidRDefault="00000000" w:rsidRPr="00000000" w14:paraId="0000005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If compliance is not achieved after notice and fine procedures, the matter may be referred to legal counsel for further enforcement, which may include demand letters, mediation, or court action.</w:t>
      </w:r>
    </w:p>
    <w:p w:rsidR="00000000" w:rsidDel="00000000" w:rsidP="00000000" w:rsidRDefault="00000000" w:rsidRPr="00000000" w14:paraId="0000005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Attorney’s fees and costs may be recoverable if permitted by the governing documents.</w:t>
      </w:r>
    </w:p>
    <w:p w:rsidR="00000000" w:rsidDel="00000000" w:rsidP="00000000" w:rsidRDefault="00000000" w:rsidRPr="00000000" w14:paraId="00000057">
      <w:pPr>
        <w:keepNext w:val="0"/>
        <w:keepLines w:val="0"/>
        <w:numPr>
          <w:ilvl w:val="0"/>
          <w:numId w:val="13"/>
        </w:numPr>
        <w:spacing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Record Retention &amp; Risk Management </w:t>
      </w:r>
    </w:p>
    <w:p w:rsidR="00000000" w:rsidDel="00000000" w:rsidP="00000000" w:rsidRDefault="00000000" w:rsidRPr="00000000" w14:paraId="0000005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 Association must maintain complete records of:</w:t>
      </w:r>
    </w:p>
    <w:p w:rsidR="00000000" w:rsidDel="00000000" w:rsidP="00000000" w:rsidRDefault="00000000" w:rsidRPr="00000000" w14:paraId="00000059">
      <w:pPr>
        <w:numPr>
          <w:ilvl w:val="0"/>
          <w:numId w:val="3"/>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notices issued</w:t>
      </w:r>
    </w:p>
    <w:p w:rsidR="00000000" w:rsidDel="00000000" w:rsidP="00000000" w:rsidRDefault="00000000" w:rsidRPr="00000000" w14:paraId="0000005A">
      <w:pPr>
        <w:numPr>
          <w:ilvl w:val="0"/>
          <w:numId w:val="3"/>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Hearing documentation</w:t>
      </w:r>
    </w:p>
    <w:p w:rsidR="00000000" w:rsidDel="00000000" w:rsidP="00000000" w:rsidRDefault="00000000" w:rsidRPr="00000000" w14:paraId="0000005B">
      <w:pPr>
        <w:numPr>
          <w:ilvl w:val="0"/>
          <w:numId w:val="3"/>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Committee determinations</w:t>
      </w:r>
    </w:p>
    <w:p w:rsidR="00000000" w:rsidDel="00000000" w:rsidP="00000000" w:rsidRDefault="00000000" w:rsidRPr="00000000" w14:paraId="0000005C">
      <w:pPr>
        <w:numPr>
          <w:ilvl w:val="0"/>
          <w:numId w:val="3"/>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Fine postings</w:t>
      </w:r>
    </w:p>
    <w:p w:rsidR="00000000" w:rsidDel="00000000" w:rsidP="00000000" w:rsidRDefault="00000000" w:rsidRPr="00000000" w14:paraId="0000005D">
      <w:pPr>
        <w:numPr>
          <w:ilvl w:val="0"/>
          <w:numId w:val="3"/>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Compliance confirmation</w:t>
      </w:r>
    </w:p>
    <w:p w:rsidR="00000000" w:rsidDel="00000000" w:rsidP="00000000" w:rsidRDefault="00000000" w:rsidRPr="00000000" w14:paraId="0000005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Staff must maintain objective documentation and avoid commentary that could be interpreted as biased. Consistency, documentation, and adherence to procedure are essential to protect the Association.</w:t>
      </w:r>
    </w:p>
    <w:p w:rsidR="00000000" w:rsidDel="00000000" w:rsidP="00000000" w:rsidRDefault="00000000" w:rsidRPr="00000000" w14:paraId="0000005F">
      <w:pPr>
        <w:spacing w:after="240" w:before="24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Violation entries, notices, and tracking must be processed through AppFolio in accordance with company procedures.</w:t>
      </w:r>
    </w:p>
    <w:p w:rsidR="00000000" w:rsidDel="00000000" w:rsidP="00000000" w:rsidRDefault="00000000" w:rsidRPr="00000000" w14:paraId="00000060">
      <w:pPr>
        <w:spacing w:after="240" w:before="240" w:line="240" w:lineRule="auto"/>
        <w:rPr>
          <w:rFonts w:ascii="Calibri" w:cs="Calibri" w:eastAsia="Calibri" w:hAnsi="Calibri"/>
        </w:rPr>
      </w:pPr>
      <w:r w:rsidDel="00000000" w:rsidR="00000000" w:rsidRPr="00000000">
        <w:rPr>
          <w:rFonts w:ascii="Calibri" w:cs="Calibri" w:eastAsia="Calibri" w:hAnsi="Calibri"/>
          <w:i w:val="1"/>
          <w:iCs w:val="1"/>
          <w:rtl w:val="0"/>
        </w:rPr>
        <w:t xml:space="preserve">For step-by-step instructions, refer to the AppFolio Help Center article on issuing violations: </w:t>
      </w:r>
      <w:hyperlink r:id="rId6">
        <w:r w:rsidDel="00000000" w:rsidR="00000000" w:rsidRPr="00000000">
          <w:rPr>
            <w:rFonts w:ascii="Calibri" w:cs="Calibri" w:eastAsia="Calibri" w:hAnsi="Calibri"/>
            <w:i w:val="1"/>
            <w:iCs w:val="1"/>
            <w:color w:val="1155cc"/>
            <w:u w:val="single"/>
            <w:rtl w:val="0"/>
          </w:rPr>
          <w:t xml:space="preserve">https://help.appfolio.com/s/article/Track-Association-Violations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elp.appfolio.com/s/article/Track-Association-Vio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